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</w:rPr>
        <w:t>“悦读·新知·致敬”</w:t>
      </w:r>
    </w:p>
    <w:p>
      <w:pPr>
        <w:widowControl/>
        <w:shd w:val="clear" w:color="auto" w:fill="FFFFFF"/>
        <w:spacing w:line="450" w:lineRule="atLeast"/>
        <w:jc w:val="right"/>
        <w:rPr>
          <w:rFonts w:hint="eastAsia" w:ascii="仿宋" w:hAnsi="仿宋" w:eastAsia="仿宋" w:cs="宋体"/>
          <w:b/>
          <w:bCs/>
          <w:color w:val="333333"/>
          <w:kern w:val="0"/>
          <w:sz w:val="48"/>
          <w:szCs w:val="4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</w:rPr>
        <w:t>主题朗读比赛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</w:rPr>
        <w:t>“花香·心香·书香”</w:t>
      </w:r>
      <w:bookmarkStart w:id="0" w:name="_GoBack"/>
      <w:bookmarkEnd w:id="0"/>
    </w:p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ascii="仿宋" w:hAnsi="仿宋" w:eastAsia="仿宋"/>
          <w:color w:val="333333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2020年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，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>是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充满期待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>又面临挑战的一年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。抗击新冠肺炎疫情以来，我们每天都被震撼着、感动着、温暖着、激励着，心有千千结，欲诉无凭托。值此世界读书日到来之际，河南省高等学校图书情报工作委员会联合河南省各高校图书馆，特举办“悦读·新知·致敬”主题朗读比赛，让你一吐衷肠。与此同时，我馆推出“花香·心香·书香”主题朗诵比赛，助你畅所欲言。两项活动主题相近，各有侧重，同时展开，分别设奖。</w:t>
      </w:r>
    </w:p>
    <w:p>
      <w:pPr>
        <w:widowControl/>
        <w:shd w:val="clear" w:color="auto" w:fill="FFFFFF"/>
        <w:spacing w:line="450" w:lineRule="atLeast"/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4340225" cy="2076450"/>
            <wp:effectExtent l="0" t="0" r="3175" b="0"/>
            <wp:docPr id="1" name="图片 1" descr="C:\Users\Administrator\Desktop\微信图片_20200331144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2003311445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6764" cy="20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活动宗旨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仿宋" w:hAnsi="仿宋" w:eastAsia="仿宋" w:cs="宋体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通过开展主题朗读比赛，充分发挥图书馆在滋养民族心灵、培育文化自信、弘扬</w:t>
      </w:r>
      <w:r>
        <w:rPr>
          <w:rFonts w:ascii="仿宋" w:hAnsi="仿宋" w:eastAsia="仿宋" w:cs="宋体"/>
          <w:color w:val="FF0000"/>
          <w:kern w:val="0"/>
          <w:sz w:val="24"/>
          <w:szCs w:val="24"/>
        </w:rPr>
        <w:t>优秀传统文化</w:t>
      </w: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和</w:t>
      </w:r>
      <w:r>
        <w:rPr>
          <w:rFonts w:ascii="仿宋" w:hAnsi="仿宋" w:eastAsia="仿宋" w:cs="宋体"/>
          <w:color w:val="FF0000"/>
          <w:kern w:val="0"/>
          <w:sz w:val="24"/>
          <w:szCs w:val="24"/>
        </w:rPr>
        <w:t>推动全民阅读</w:t>
      </w: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中的独特作用；激发青年学生的文化使命担当，为实现中华民族伟大复兴的中国梦和</w:t>
      </w:r>
      <w:r>
        <w:rPr>
          <w:rFonts w:ascii="仿宋" w:hAnsi="仿宋" w:eastAsia="仿宋" w:cs="宋体"/>
          <w:color w:val="FF0000"/>
          <w:kern w:val="0"/>
          <w:sz w:val="24"/>
          <w:szCs w:val="24"/>
        </w:rPr>
        <w:t>建设社会主义文化</w:t>
      </w: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强国</w:t>
      </w:r>
      <w:r>
        <w:rPr>
          <w:rFonts w:ascii="仿宋" w:hAnsi="仿宋" w:eastAsia="仿宋" w:cs="宋体"/>
          <w:color w:val="FF0000"/>
          <w:kern w:val="0"/>
          <w:sz w:val="24"/>
          <w:szCs w:val="24"/>
        </w:rPr>
        <w:t>而</w:t>
      </w:r>
      <w:r>
        <w:rPr>
          <w:rFonts w:hint="eastAsia" w:ascii="仿宋" w:hAnsi="仿宋" w:eastAsia="仿宋" w:cs="宋体"/>
          <w:color w:val="FF0000"/>
          <w:kern w:val="0"/>
          <w:sz w:val="24"/>
          <w:szCs w:val="24"/>
        </w:rPr>
        <w:t>发奋读书</w:t>
      </w:r>
      <w:r>
        <w:rPr>
          <w:rFonts w:ascii="仿宋" w:hAnsi="仿宋" w:eastAsia="仿宋" w:cs="宋体"/>
          <w:color w:val="FF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组织机构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主办单位：河南省高等学校图书情报工作委员会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承办单位：河南新永源电子科技有限公司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技术支持：“优谷朗读”小程序</w:t>
      </w:r>
    </w:p>
    <w:p>
      <w:pPr>
        <w:rPr>
          <w:rFonts w:hint="eastAsia"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参与单位：河南省各高校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活动形式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>本次活动分学生组、教师组两个组别，各高校图书馆通过由技术支持单位提供的线上朗读平台（机构小程序），自主组织初赛活动，师生可通过该校的线上专属朗读平台在线报名和参与朗读。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>活动分为初赛和决赛两个阶段，各高校初赛后选送读者朗读作品至本赛事组委会（选送名额后期根据参赛情况另行通知），组委会组织专家进行综合打分、评选出各奖项。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活动时间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师生线上作品征集时间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4 月 1 日-5 月 10 日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学校优秀作品报送时间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5 月 11 日-5 月 20 日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赛事评选时间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5 月 21 日-5 月 31 日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颁奖时间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根据工作安排情况，另行通知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作品要求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围绕“悦读·新知·致敬”主题，录制活动规定的线上作品。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支持上传和主题相关、健康积极的自选文章。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参赛不限制作品数量，朗读者可上传多篇作品，择优评选。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>参赛作品时长请控制在10分钟内。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评选标准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1.普通话标准，吐字清晰，发音准确，内容熟练，无卡顿或朗读错误发生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.声音洪亮优美，节奏准确、协调，声情并茂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.朗读富有韵味和表现力、感染力，抑扬顿挫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.情绪饱满激昂，朗诵投入，效果良好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.语言生动，语气语调声音节奏富于变化，轻重缓急，切合朗诵内容，能准确恰当表情达意，舒心悦耳，娓娓动听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评选规则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一二三等奖：由河南省高等学校图书情报工作委员会选配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7名专家评委综合打分占比60%，结合优谷后台作品评星数据占比40%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最佳人气奖：按照我省各高校参赛朗读者作品投票数从高到低排名，前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100名为人气奖 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优秀组织奖：根据各参赛高校活动组织情况、获奖作品情况，参考优谷线上大数据，经组委会专家组综合评议后公示</w:t>
      </w:r>
    </w:p>
    <w:tbl>
      <w:tblPr>
        <w:tblStyle w:val="7"/>
        <w:tblW w:w="49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190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pct"/>
            <w:shd w:val="clear" w:color="auto" w:fill="AEAAAA" w:themeFill="background2" w:themeFillShade="BF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奖项</w:t>
            </w:r>
          </w:p>
        </w:tc>
        <w:tc>
          <w:tcPr>
            <w:tcW w:w="1378" w:type="pct"/>
            <w:shd w:val="clear" w:color="auto" w:fill="AEAAAA" w:themeFill="background2" w:themeFillShade="BF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1506" w:type="pct"/>
            <w:shd w:val="clear" w:color="auto" w:fill="AEAAAA" w:themeFill="background2" w:themeFillShade="BF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78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10名</w:t>
            </w:r>
          </w:p>
        </w:tc>
        <w:tc>
          <w:tcPr>
            <w:tcW w:w="1506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78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20名</w:t>
            </w:r>
          </w:p>
        </w:tc>
        <w:tc>
          <w:tcPr>
            <w:tcW w:w="1506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78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30名</w:t>
            </w:r>
          </w:p>
        </w:tc>
        <w:tc>
          <w:tcPr>
            <w:tcW w:w="1506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网络人气奖</w:t>
            </w:r>
          </w:p>
        </w:tc>
        <w:tc>
          <w:tcPr>
            <w:tcW w:w="2884" w:type="pct"/>
            <w:gridSpan w:val="2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pc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优秀组织奖</w:t>
            </w:r>
          </w:p>
        </w:tc>
        <w:tc>
          <w:tcPr>
            <w:tcW w:w="2884" w:type="pct"/>
            <w:gridSpan w:val="2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20名</w:t>
            </w:r>
          </w:p>
        </w:tc>
      </w:tr>
    </w:tbl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shd w:val="clear" w:color="auto" w:fill="AEAAAA" w:themeFill="background2" w:themeFillShade="BF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奖项</w:t>
            </w:r>
          </w:p>
        </w:tc>
        <w:tc>
          <w:tcPr>
            <w:tcW w:w="4819" w:type="dxa"/>
            <w:shd w:val="clear" w:color="auto" w:fill="AEAAAA" w:themeFill="background2" w:themeFillShade="BF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奖品设置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荣誉证书、价值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300 元奖品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荣誉证书、价值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200 元奖品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荣誉证书、价值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100 元奖品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网络人气奖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荣誉证书、定制纪念品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优秀组织奖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奖杯、荣誉证书、价值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5 万元的线上朗读平台 1 年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免费使用权</w:t>
            </w:r>
          </w:p>
        </w:tc>
      </w:tr>
    </w:tbl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同时，优秀作品将被优谷朗读平台和各参赛单位收录，进行线上线下展播。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cr/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 xml:space="preserve">    我馆另设：个人一二三等各3名。发放价值300、200、100元精美图书并颁发荣誉证书。组织奖3个，发放证书。</w:t>
      </w:r>
    </w:p>
    <w:p>
      <w:pPr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参与活动方式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1.扫描洛阳师范学院小程序码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2505075" cy="3657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284" cy="366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2.公众号菜单/小程序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方法一：公众号菜单进入“朗读比赛”</w:t>
      </w:r>
    </w:p>
    <w:p>
      <w:pPr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2647950" cy="46812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500" cy="472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方法二：识别图中小程序码参与</w:t>
      </w:r>
    </w:p>
    <w:p>
      <w:pPr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1693545" cy="1693545"/>
            <wp:effectExtent l="0" t="0" r="190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14" cy="172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</w:p>
    <w:p>
      <w:pPr>
        <w:jc w:val="left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</w:p>
    <w:p>
      <w:pPr>
        <w:jc w:val="left"/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线上录制流程</w:t>
      </w:r>
    </w:p>
    <w:p>
      <w:pPr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1.进入学校线上朗读平台，点击“悦读·新知·致敬”活动页面。</w:t>
      </w:r>
    </w:p>
    <w:p>
      <w:pPr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2495550" cy="49193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863" cy="502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2.小程序授权登录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点击【参与活动】后，如您是第一次使用小程序，系统将会请求使用您的头像、昵称、地区的，请一定要点击【允许】，否则无法参加活动。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5168265" cy="29425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505" cy="294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3.填写报名信息和录制作品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①填写真实的个人信息（注：报名信息仅用于组委会赛事统计及后续颁奖联系，请放心填写）；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②点击活动页面下方的【立即朗读】，进入录制作品；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2751455" cy="507111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490" cy="51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③点击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>+号，进入“优谷文库”，请围绕“悦读·新知·致敬”主题选择文库中合适的素材进行朗读，要求内容健康积极、展示青年学生的精神面貌担当，也可以自己上传素材朗读；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4016375" cy="3942080"/>
            <wp:effectExtent l="0" t="0" r="317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67" cy="396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④朗读时，选择喜欢的配乐，可通过手机音量键调节配乐声音大小，使作品更完整，情感丰满，效果更好；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4709160" cy="318262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752" cy="318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⑤朗读完成后，点击“提交参赛”，将作品提交到该活动中即可。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⑥选手提交作品参赛后，系统支持生成精美的留声卡，如图示，点击试听页面右侧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>"留声卡"，图片背景和文字均支持自定义，选择确定后完成编辑保存至手机，就可以分享传播。同学们还可以积极拉票，争取最佳人气奖哦！获奖者即可获得本次大赛最佳人气证书及活动组委会定制礼品一份！</w:t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4182110" cy="2737485"/>
            <wp:effectExtent l="0" t="0" r="889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644" cy="27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36651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8"/>
    <w:rsid w:val="0004377A"/>
    <w:rsid w:val="0006341C"/>
    <w:rsid w:val="000915D6"/>
    <w:rsid w:val="00095394"/>
    <w:rsid w:val="001944A7"/>
    <w:rsid w:val="001C11BD"/>
    <w:rsid w:val="001E3678"/>
    <w:rsid w:val="002503C5"/>
    <w:rsid w:val="00252E89"/>
    <w:rsid w:val="0029600D"/>
    <w:rsid w:val="002E041F"/>
    <w:rsid w:val="004D097C"/>
    <w:rsid w:val="00563018"/>
    <w:rsid w:val="005D4B20"/>
    <w:rsid w:val="00626284"/>
    <w:rsid w:val="007E4D2D"/>
    <w:rsid w:val="00817BBE"/>
    <w:rsid w:val="008B56BA"/>
    <w:rsid w:val="00946988"/>
    <w:rsid w:val="0096224B"/>
    <w:rsid w:val="009D4FD7"/>
    <w:rsid w:val="00A26E4C"/>
    <w:rsid w:val="00B2662C"/>
    <w:rsid w:val="00B2745B"/>
    <w:rsid w:val="00B37BD1"/>
    <w:rsid w:val="00B51B8F"/>
    <w:rsid w:val="00BE5C6C"/>
    <w:rsid w:val="00C22F2B"/>
    <w:rsid w:val="00C65BDC"/>
    <w:rsid w:val="00CF1280"/>
    <w:rsid w:val="00DD44BB"/>
    <w:rsid w:val="00DE2F63"/>
    <w:rsid w:val="00EE1687"/>
    <w:rsid w:val="00FA03BE"/>
    <w:rsid w:val="00FA4FA6"/>
    <w:rsid w:val="00FC7725"/>
    <w:rsid w:val="183436E1"/>
    <w:rsid w:val="490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8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7</Pages>
  <Words>296</Words>
  <Characters>1691</Characters>
  <Lines>14</Lines>
  <Paragraphs>3</Paragraphs>
  <TotalTime>3</TotalTime>
  <ScaleCrop>false</ScaleCrop>
  <LinksUpToDate>false</LinksUpToDate>
  <CharactersWithSpaces>1984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2020-03-31T06:11:00Z</dcterms:created>
  <dc:creator>微软用户</dc:creator>
  <cp:lastModifiedBy>大奎小葵~</cp:lastModifiedBy>
  <dcterms:modified xsi:type="dcterms:W3CDTF">2020-04-02T07:58:23Z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